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0" w:type="auto"/>
        <w:tblCellSpacing w:w="0" w:type="dxa"/>
        <w:shd w:val="clear" w:color="auto" w:fill="FFFFFF"/>
        <w:tblCellMar>
          <w:left w:w="0" w:type="dxa"/>
          <w:right w:w="0" w:type="dxa"/>
        </w:tblCellMar>
        <w:tblLook w:val="04A0"/>
      </w:tblPr>
      <w:tblGrid>
        <w:gridCol w:w="3348"/>
        <w:gridCol w:w="5508"/>
      </w:tblGrid>
      <w:tr w:rsidR="00D75BD9" w:rsidRPr="00D75BD9" w:rsidTr="00D75BD9">
        <w:trPr>
          <w:tblCellSpacing w:w="0" w:type="dxa"/>
        </w:trPr>
        <w:tc>
          <w:tcPr>
            <w:tcW w:w="3348" w:type="dxa"/>
            <w:shd w:val="clear" w:color="auto" w:fill="FFFFFF"/>
            <w:tcMar>
              <w:top w:w="0" w:type="dxa"/>
              <w:left w:w="108" w:type="dxa"/>
              <w:bottom w:w="0" w:type="dxa"/>
              <w:right w:w="108" w:type="dxa"/>
            </w:tcMar>
            <w:hideMark/>
          </w:tcPr>
          <w:p w:rsidR="00D75BD9" w:rsidRPr="00D75BD9" w:rsidRDefault="00D75BD9" w:rsidP="00D75BD9">
            <w:pPr>
              <w:spacing w:before="120" w:after="120" w:line="180" w:lineRule="atLeast"/>
              <w:jc w:val="center"/>
              <w:rPr>
                <w:rFonts w:ascii="Arial" w:eastAsia="Times New Roman" w:hAnsi="Arial" w:cs="Arial"/>
                <w:color w:val="000000"/>
                <w:sz w:val="14"/>
                <w:szCs w:val="14"/>
              </w:rPr>
            </w:pPr>
            <w:r w:rsidRPr="00D75BD9">
              <w:rPr>
                <w:rFonts w:ascii="Arial" w:eastAsia="Times New Roman" w:hAnsi="Arial" w:cs="Arial"/>
                <w:b/>
                <w:bCs/>
                <w:color w:val="000000"/>
                <w:sz w:val="14"/>
                <w:szCs w:val="14"/>
              </w:rPr>
              <w:t>THỦ TƯỚNG CHÍNH PHỦ</w:t>
            </w:r>
            <w:r w:rsidRPr="00D75BD9">
              <w:rPr>
                <w:rFonts w:ascii="Arial" w:eastAsia="Times New Roman" w:hAnsi="Arial" w:cs="Arial"/>
                <w:b/>
                <w:bCs/>
                <w:color w:val="000000"/>
                <w:sz w:val="14"/>
                <w:szCs w:val="14"/>
                <w:lang w:val="vi-VN"/>
              </w:rPr>
              <w:br/>
              <w:t>-------</w:t>
            </w:r>
          </w:p>
        </w:tc>
        <w:tc>
          <w:tcPr>
            <w:tcW w:w="5508" w:type="dxa"/>
            <w:shd w:val="clear" w:color="auto" w:fill="FFFFFF"/>
            <w:tcMar>
              <w:top w:w="0" w:type="dxa"/>
              <w:left w:w="108" w:type="dxa"/>
              <w:bottom w:w="0" w:type="dxa"/>
              <w:right w:w="108" w:type="dxa"/>
            </w:tcMar>
            <w:hideMark/>
          </w:tcPr>
          <w:p w:rsidR="00D75BD9" w:rsidRPr="00D75BD9" w:rsidRDefault="00D75BD9" w:rsidP="00D75BD9">
            <w:pPr>
              <w:spacing w:before="120" w:after="120" w:line="180" w:lineRule="atLeast"/>
              <w:jc w:val="center"/>
              <w:rPr>
                <w:rFonts w:ascii="Arial" w:eastAsia="Times New Roman" w:hAnsi="Arial" w:cs="Arial"/>
                <w:color w:val="000000"/>
                <w:sz w:val="14"/>
                <w:szCs w:val="14"/>
              </w:rPr>
            </w:pPr>
            <w:r w:rsidRPr="00D75BD9">
              <w:rPr>
                <w:rFonts w:ascii="Arial" w:eastAsia="Times New Roman" w:hAnsi="Arial" w:cs="Arial"/>
                <w:b/>
                <w:bCs/>
                <w:color w:val="000000"/>
                <w:sz w:val="14"/>
                <w:szCs w:val="14"/>
                <w:lang w:val="vi-VN"/>
              </w:rPr>
              <w:t>CỘNG HÒA XÃ HỘI CHỦ NGHĨA VIỆT NAM</w:t>
            </w:r>
            <w:r w:rsidRPr="00D75BD9">
              <w:rPr>
                <w:rFonts w:ascii="Arial" w:eastAsia="Times New Roman" w:hAnsi="Arial" w:cs="Arial"/>
                <w:b/>
                <w:bCs/>
                <w:color w:val="000000"/>
                <w:sz w:val="14"/>
                <w:szCs w:val="14"/>
                <w:lang w:val="vi-VN"/>
              </w:rPr>
              <w:br/>
              <w:t>Độc lập - Tự do - Hạnh phúc</w:t>
            </w:r>
            <w:r w:rsidRPr="00D75BD9">
              <w:rPr>
                <w:rFonts w:ascii="Arial" w:eastAsia="Times New Roman" w:hAnsi="Arial" w:cs="Arial"/>
                <w:b/>
                <w:bCs/>
                <w:color w:val="000000"/>
                <w:sz w:val="14"/>
                <w:szCs w:val="14"/>
                <w:lang w:val="vi-VN"/>
              </w:rPr>
              <w:br/>
              <w:t>---------------</w:t>
            </w:r>
          </w:p>
        </w:tc>
      </w:tr>
      <w:tr w:rsidR="00D75BD9" w:rsidRPr="00D75BD9" w:rsidTr="00D75BD9">
        <w:trPr>
          <w:tblCellSpacing w:w="0" w:type="dxa"/>
        </w:trPr>
        <w:tc>
          <w:tcPr>
            <w:tcW w:w="3348" w:type="dxa"/>
            <w:shd w:val="clear" w:color="auto" w:fill="FFFFFF"/>
            <w:tcMar>
              <w:top w:w="0" w:type="dxa"/>
              <w:left w:w="108" w:type="dxa"/>
              <w:bottom w:w="0" w:type="dxa"/>
              <w:right w:w="108" w:type="dxa"/>
            </w:tcMar>
            <w:hideMark/>
          </w:tcPr>
          <w:p w:rsidR="00D75BD9" w:rsidRPr="00D75BD9" w:rsidRDefault="00D75BD9" w:rsidP="00D75BD9">
            <w:pPr>
              <w:spacing w:before="120" w:after="120" w:line="180" w:lineRule="atLeast"/>
              <w:jc w:val="center"/>
              <w:rPr>
                <w:rFonts w:ascii="Arial" w:eastAsia="Times New Roman" w:hAnsi="Arial" w:cs="Arial"/>
                <w:color w:val="000000"/>
                <w:sz w:val="14"/>
                <w:szCs w:val="14"/>
              </w:rPr>
            </w:pPr>
            <w:r w:rsidRPr="00D75BD9">
              <w:rPr>
                <w:rFonts w:ascii="Arial" w:eastAsia="Times New Roman" w:hAnsi="Arial" w:cs="Arial"/>
                <w:color w:val="000000"/>
                <w:sz w:val="14"/>
                <w:szCs w:val="14"/>
                <w:lang w:val="vi-VN"/>
              </w:rPr>
              <w:t>Số: </w:t>
            </w:r>
            <w:r w:rsidRPr="00D75BD9">
              <w:rPr>
                <w:rFonts w:ascii="Arial" w:eastAsia="Times New Roman" w:hAnsi="Arial" w:cs="Arial"/>
                <w:color w:val="000000"/>
                <w:sz w:val="14"/>
                <w:szCs w:val="14"/>
              </w:rPr>
              <w:t>751/QĐ-TTg</w:t>
            </w:r>
          </w:p>
        </w:tc>
        <w:tc>
          <w:tcPr>
            <w:tcW w:w="5508" w:type="dxa"/>
            <w:shd w:val="clear" w:color="auto" w:fill="FFFFFF"/>
            <w:tcMar>
              <w:top w:w="0" w:type="dxa"/>
              <w:left w:w="108" w:type="dxa"/>
              <w:bottom w:w="0" w:type="dxa"/>
              <w:right w:w="108" w:type="dxa"/>
            </w:tcMar>
            <w:hideMark/>
          </w:tcPr>
          <w:p w:rsidR="00D75BD9" w:rsidRPr="00D75BD9" w:rsidRDefault="00D75BD9" w:rsidP="00D75BD9">
            <w:pPr>
              <w:spacing w:before="120" w:after="120" w:line="180" w:lineRule="atLeast"/>
              <w:jc w:val="right"/>
              <w:rPr>
                <w:rFonts w:ascii="Arial" w:eastAsia="Times New Roman" w:hAnsi="Arial" w:cs="Arial"/>
                <w:color w:val="000000"/>
                <w:sz w:val="14"/>
                <w:szCs w:val="14"/>
              </w:rPr>
            </w:pPr>
            <w:r w:rsidRPr="00D75BD9">
              <w:rPr>
                <w:rFonts w:ascii="Arial" w:eastAsia="Times New Roman" w:hAnsi="Arial" w:cs="Arial"/>
                <w:i/>
                <w:iCs/>
                <w:color w:val="000000"/>
                <w:sz w:val="14"/>
                <w:szCs w:val="14"/>
              </w:rPr>
              <w:t>Hà Nội</w:t>
            </w:r>
            <w:r w:rsidRPr="00D75BD9">
              <w:rPr>
                <w:rFonts w:ascii="Arial" w:eastAsia="Times New Roman" w:hAnsi="Arial" w:cs="Arial"/>
                <w:i/>
                <w:iCs/>
                <w:color w:val="000000"/>
                <w:sz w:val="14"/>
                <w:szCs w:val="14"/>
                <w:lang w:val="vi-VN"/>
              </w:rPr>
              <w:t>, ngày </w:t>
            </w:r>
            <w:r w:rsidRPr="00D75BD9">
              <w:rPr>
                <w:rFonts w:ascii="Arial" w:eastAsia="Times New Roman" w:hAnsi="Arial" w:cs="Arial"/>
                <w:i/>
                <w:iCs/>
                <w:color w:val="000000"/>
                <w:sz w:val="14"/>
                <w:szCs w:val="14"/>
              </w:rPr>
              <w:t>30</w:t>
            </w:r>
            <w:r w:rsidRPr="00D75BD9">
              <w:rPr>
                <w:rFonts w:ascii="Arial" w:eastAsia="Times New Roman" w:hAnsi="Arial" w:cs="Arial"/>
                <w:i/>
                <w:iCs/>
                <w:color w:val="000000"/>
                <w:sz w:val="14"/>
                <w:szCs w:val="14"/>
                <w:lang w:val="vi-VN"/>
              </w:rPr>
              <w:t> tháng </w:t>
            </w:r>
            <w:r w:rsidRPr="00D75BD9">
              <w:rPr>
                <w:rFonts w:ascii="Arial" w:eastAsia="Times New Roman" w:hAnsi="Arial" w:cs="Arial"/>
                <w:i/>
                <w:iCs/>
                <w:color w:val="000000"/>
                <w:sz w:val="14"/>
                <w:szCs w:val="14"/>
              </w:rPr>
              <w:t>5</w:t>
            </w:r>
            <w:r w:rsidRPr="00D75BD9">
              <w:rPr>
                <w:rFonts w:ascii="Arial" w:eastAsia="Times New Roman" w:hAnsi="Arial" w:cs="Arial"/>
                <w:i/>
                <w:iCs/>
                <w:color w:val="000000"/>
                <w:sz w:val="14"/>
                <w:szCs w:val="14"/>
                <w:lang w:val="vi-VN"/>
              </w:rPr>
              <w:t> năm </w:t>
            </w:r>
            <w:r w:rsidRPr="00D75BD9">
              <w:rPr>
                <w:rFonts w:ascii="Arial" w:eastAsia="Times New Roman" w:hAnsi="Arial" w:cs="Arial"/>
                <w:i/>
                <w:iCs/>
                <w:color w:val="000000"/>
                <w:sz w:val="14"/>
                <w:szCs w:val="14"/>
              </w:rPr>
              <w:t>2017</w:t>
            </w:r>
          </w:p>
        </w:tc>
      </w:tr>
    </w:tbl>
    <w:p w:rsidR="00D75BD9" w:rsidRPr="00D75BD9" w:rsidRDefault="00D75BD9" w:rsidP="00D75BD9">
      <w:pPr>
        <w:shd w:val="clear" w:color="auto" w:fill="FFFFFF"/>
        <w:spacing w:before="120" w:after="120" w:line="180" w:lineRule="atLeast"/>
        <w:rPr>
          <w:rFonts w:ascii="Arial" w:eastAsia="Times New Roman" w:hAnsi="Arial" w:cs="Arial"/>
          <w:color w:val="000000"/>
          <w:sz w:val="14"/>
          <w:szCs w:val="14"/>
        </w:rPr>
      </w:pPr>
      <w:r w:rsidRPr="00D75BD9">
        <w:rPr>
          <w:rFonts w:ascii="Arial" w:eastAsia="Times New Roman" w:hAnsi="Arial" w:cs="Arial"/>
          <w:color w:val="000000"/>
          <w:sz w:val="14"/>
          <w:szCs w:val="14"/>
        </w:rPr>
        <w:t> </w:t>
      </w:r>
    </w:p>
    <w:p w:rsidR="00D75BD9" w:rsidRPr="00D75BD9" w:rsidRDefault="00D75BD9" w:rsidP="00D75BD9">
      <w:pPr>
        <w:shd w:val="clear" w:color="auto" w:fill="FFFFFF"/>
        <w:spacing w:after="0" w:line="180" w:lineRule="atLeast"/>
        <w:jc w:val="center"/>
        <w:rPr>
          <w:rFonts w:ascii="Arial" w:eastAsia="Times New Roman" w:hAnsi="Arial" w:cs="Arial"/>
          <w:color w:val="000000"/>
          <w:sz w:val="14"/>
          <w:szCs w:val="14"/>
        </w:rPr>
      </w:pPr>
      <w:bookmarkStart w:id="0" w:name="loai_1"/>
      <w:r w:rsidRPr="00D75BD9">
        <w:rPr>
          <w:rFonts w:ascii="Arial" w:eastAsia="Times New Roman" w:hAnsi="Arial" w:cs="Arial"/>
          <w:b/>
          <w:bCs/>
          <w:color w:val="000000"/>
          <w:sz w:val="24"/>
          <w:szCs w:val="24"/>
        </w:rPr>
        <w:t>QUYẾT ĐỊNH</w:t>
      </w:r>
      <w:bookmarkEnd w:id="0"/>
    </w:p>
    <w:p w:rsidR="00D75BD9" w:rsidRPr="00D75BD9" w:rsidRDefault="00D75BD9" w:rsidP="00D75BD9">
      <w:pPr>
        <w:shd w:val="clear" w:color="auto" w:fill="FFFFFF"/>
        <w:spacing w:after="0" w:line="180" w:lineRule="atLeast"/>
        <w:jc w:val="center"/>
        <w:rPr>
          <w:rFonts w:ascii="Arial" w:eastAsia="Times New Roman" w:hAnsi="Arial" w:cs="Arial"/>
          <w:color w:val="000000"/>
          <w:sz w:val="14"/>
          <w:szCs w:val="14"/>
        </w:rPr>
      </w:pPr>
      <w:bookmarkStart w:id="1" w:name="loai_1_name"/>
      <w:r w:rsidRPr="00D75BD9">
        <w:rPr>
          <w:rFonts w:ascii="Arial" w:eastAsia="Times New Roman" w:hAnsi="Arial" w:cs="Arial"/>
          <w:color w:val="000000"/>
          <w:sz w:val="14"/>
          <w:szCs w:val="14"/>
        </w:rPr>
        <w:t>VỀ VIỆC ĐIỀU CHỈNH MỨC CHO VAY ĐỐI VỚI HỌC SINH, SINH VIÊN</w:t>
      </w:r>
      <w:bookmarkEnd w:id="1"/>
    </w:p>
    <w:p w:rsidR="00D75BD9" w:rsidRPr="00D75BD9" w:rsidRDefault="00D75BD9" w:rsidP="00D75BD9">
      <w:pPr>
        <w:shd w:val="clear" w:color="auto" w:fill="FFFFFF"/>
        <w:spacing w:before="120" w:after="120" w:line="180" w:lineRule="atLeast"/>
        <w:rPr>
          <w:rFonts w:ascii="Arial" w:eastAsia="Times New Roman" w:hAnsi="Arial" w:cs="Arial"/>
          <w:color w:val="000000"/>
          <w:sz w:val="14"/>
          <w:szCs w:val="14"/>
        </w:rPr>
      </w:pPr>
      <w:r w:rsidRPr="00D75BD9">
        <w:rPr>
          <w:rFonts w:ascii="Arial" w:eastAsia="Times New Roman" w:hAnsi="Arial" w:cs="Arial"/>
          <w:i/>
          <w:iCs/>
          <w:color w:val="000000"/>
          <w:sz w:val="14"/>
          <w:szCs w:val="14"/>
          <w:lang w:val="vi-VN"/>
        </w:rPr>
        <w:t>Căn cứ Luật Tổ chức Chính phủ ngày 19 tháng 6 năm 2015;</w:t>
      </w:r>
    </w:p>
    <w:p w:rsidR="00D75BD9" w:rsidRPr="00D75BD9" w:rsidRDefault="00D75BD9" w:rsidP="00D75BD9">
      <w:pPr>
        <w:shd w:val="clear" w:color="auto" w:fill="FFFFFF"/>
        <w:spacing w:after="0" w:line="180" w:lineRule="atLeast"/>
        <w:rPr>
          <w:rFonts w:ascii="Arial" w:eastAsia="Times New Roman" w:hAnsi="Arial" w:cs="Arial"/>
          <w:color w:val="000000"/>
          <w:sz w:val="14"/>
          <w:szCs w:val="14"/>
        </w:rPr>
      </w:pPr>
      <w:r w:rsidRPr="00D75BD9">
        <w:rPr>
          <w:rFonts w:ascii="Arial" w:eastAsia="Times New Roman" w:hAnsi="Arial" w:cs="Arial"/>
          <w:i/>
          <w:iCs/>
          <w:color w:val="000000"/>
          <w:sz w:val="14"/>
          <w:szCs w:val="14"/>
          <w:lang w:val="vi-VN"/>
        </w:rPr>
        <w:t>Căn cứ Nghị định số </w:t>
      </w:r>
      <w:hyperlink r:id="rId4" w:tgtFrame="_blank" w:tooltip="Nghị định 78/2002/NĐ-CP" w:history="1">
        <w:r w:rsidRPr="00D75BD9">
          <w:rPr>
            <w:rFonts w:ascii="Arial" w:eastAsia="Times New Roman" w:hAnsi="Arial" w:cs="Arial"/>
            <w:i/>
            <w:iCs/>
            <w:color w:val="0E70C3"/>
            <w:sz w:val="14"/>
            <w:lang w:val="vi-VN"/>
          </w:rPr>
          <w:t>78/2002/NĐ-CP</w:t>
        </w:r>
      </w:hyperlink>
      <w:r w:rsidRPr="00D75BD9">
        <w:rPr>
          <w:rFonts w:ascii="Arial" w:eastAsia="Times New Roman" w:hAnsi="Arial" w:cs="Arial"/>
          <w:i/>
          <w:iCs/>
          <w:color w:val="000000"/>
          <w:sz w:val="14"/>
          <w:szCs w:val="14"/>
          <w:lang w:val="vi-VN"/>
        </w:rPr>
        <w:t> ngày 04 tháng 10 năm 2002 của Chính phủ về tín dụng đối với người nghèo và các đối tượng chính sách khác;</w:t>
      </w:r>
    </w:p>
    <w:p w:rsidR="00D75BD9" w:rsidRPr="00D75BD9" w:rsidRDefault="00D75BD9" w:rsidP="00D75BD9">
      <w:pPr>
        <w:shd w:val="clear" w:color="auto" w:fill="FFFFFF"/>
        <w:spacing w:after="0" w:line="180" w:lineRule="atLeast"/>
        <w:rPr>
          <w:rFonts w:ascii="Arial" w:eastAsia="Times New Roman" w:hAnsi="Arial" w:cs="Arial"/>
          <w:color w:val="000000"/>
          <w:sz w:val="14"/>
          <w:szCs w:val="14"/>
        </w:rPr>
      </w:pPr>
      <w:r w:rsidRPr="00D75BD9">
        <w:rPr>
          <w:rFonts w:ascii="Arial" w:eastAsia="Times New Roman" w:hAnsi="Arial" w:cs="Arial"/>
          <w:i/>
          <w:iCs/>
          <w:color w:val="000000"/>
          <w:sz w:val="14"/>
          <w:szCs w:val="14"/>
          <w:lang w:val="vi-VN"/>
        </w:rPr>
        <w:t>Căn cứ Quyết định số </w:t>
      </w:r>
      <w:hyperlink r:id="rId5" w:tgtFrame="_blank" w:tooltip="Quyết định 157/2007/QĐ-TTg" w:history="1">
        <w:r w:rsidRPr="00D75BD9">
          <w:rPr>
            <w:rFonts w:ascii="Arial" w:eastAsia="Times New Roman" w:hAnsi="Arial" w:cs="Arial"/>
            <w:i/>
            <w:iCs/>
            <w:color w:val="0E70C3"/>
            <w:sz w:val="14"/>
            <w:lang w:val="vi-VN"/>
          </w:rPr>
          <w:t>157/2007/QĐ-TTg</w:t>
        </w:r>
      </w:hyperlink>
      <w:r w:rsidRPr="00D75BD9">
        <w:rPr>
          <w:rFonts w:ascii="Arial" w:eastAsia="Times New Roman" w:hAnsi="Arial" w:cs="Arial"/>
          <w:i/>
          <w:iCs/>
          <w:color w:val="000000"/>
          <w:sz w:val="14"/>
          <w:szCs w:val="14"/>
          <w:lang w:val="vi-VN"/>
        </w:rPr>
        <w:t> ngày 27 tháng 9 năm 2007 của Thủ tướng Chính phủ về tín dụng đối với học sinh, sinh viên;</w:t>
      </w:r>
    </w:p>
    <w:p w:rsidR="00D75BD9" w:rsidRPr="00D75BD9" w:rsidRDefault="00D75BD9" w:rsidP="00D75BD9">
      <w:pPr>
        <w:shd w:val="clear" w:color="auto" w:fill="FFFFFF"/>
        <w:spacing w:before="120" w:after="120" w:line="180" w:lineRule="atLeast"/>
        <w:rPr>
          <w:rFonts w:ascii="Arial" w:eastAsia="Times New Roman" w:hAnsi="Arial" w:cs="Arial"/>
          <w:color w:val="000000"/>
          <w:sz w:val="14"/>
          <w:szCs w:val="14"/>
        </w:rPr>
      </w:pPr>
      <w:r w:rsidRPr="00D75BD9">
        <w:rPr>
          <w:rFonts w:ascii="Arial" w:eastAsia="Times New Roman" w:hAnsi="Arial" w:cs="Arial"/>
          <w:i/>
          <w:iCs/>
          <w:color w:val="000000"/>
          <w:sz w:val="14"/>
          <w:szCs w:val="14"/>
          <w:lang w:val="vi-VN"/>
        </w:rPr>
        <w:t>Xét đề nghị của Bộ trưởng Bộ Tài chính tại văn bản số 493/TTr-BTC ngày 11 tháng 5 năm 2017,</w:t>
      </w:r>
    </w:p>
    <w:p w:rsidR="00D75BD9" w:rsidRPr="00D75BD9" w:rsidRDefault="00D75BD9" w:rsidP="00D75BD9">
      <w:pPr>
        <w:shd w:val="clear" w:color="auto" w:fill="FFFFFF"/>
        <w:spacing w:before="120" w:after="120" w:line="180" w:lineRule="atLeast"/>
        <w:jc w:val="center"/>
        <w:rPr>
          <w:rFonts w:ascii="Arial" w:eastAsia="Times New Roman" w:hAnsi="Arial" w:cs="Arial"/>
          <w:color w:val="000000"/>
          <w:sz w:val="14"/>
          <w:szCs w:val="14"/>
        </w:rPr>
      </w:pPr>
      <w:r w:rsidRPr="00D75BD9">
        <w:rPr>
          <w:rFonts w:ascii="Arial" w:eastAsia="Times New Roman" w:hAnsi="Arial" w:cs="Arial"/>
          <w:b/>
          <w:bCs/>
          <w:color w:val="000000"/>
          <w:sz w:val="24"/>
          <w:szCs w:val="24"/>
        </w:rPr>
        <w:t>QUYẾT ĐỊNH</w:t>
      </w:r>
    </w:p>
    <w:p w:rsidR="00D75BD9" w:rsidRPr="00D75BD9" w:rsidRDefault="00D75BD9" w:rsidP="00D75BD9">
      <w:pPr>
        <w:shd w:val="clear" w:color="auto" w:fill="FFFFFF"/>
        <w:spacing w:after="0" w:line="180" w:lineRule="atLeast"/>
        <w:rPr>
          <w:rFonts w:ascii="Arial" w:eastAsia="Times New Roman" w:hAnsi="Arial" w:cs="Arial"/>
          <w:color w:val="000000"/>
          <w:sz w:val="14"/>
          <w:szCs w:val="14"/>
        </w:rPr>
      </w:pPr>
      <w:bookmarkStart w:id="2" w:name="dieu_1"/>
      <w:r w:rsidRPr="00D75BD9">
        <w:rPr>
          <w:rFonts w:ascii="Arial" w:eastAsia="Times New Roman" w:hAnsi="Arial" w:cs="Arial"/>
          <w:b/>
          <w:bCs/>
          <w:color w:val="000000"/>
          <w:sz w:val="14"/>
          <w:szCs w:val="14"/>
          <w:lang w:val="vi-VN"/>
        </w:rPr>
        <w:t>Điều 1.</w:t>
      </w:r>
      <w:bookmarkEnd w:id="2"/>
      <w:r w:rsidRPr="00D75BD9">
        <w:rPr>
          <w:rFonts w:ascii="Arial" w:eastAsia="Times New Roman" w:hAnsi="Arial" w:cs="Arial"/>
          <w:color w:val="000000"/>
          <w:sz w:val="14"/>
          <w:szCs w:val="14"/>
          <w:lang w:val="vi-VN"/>
        </w:rPr>
        <w:t> </w:t>
      </w:r>
      <w:bookmarkStart w:id="3" w:name="dieu_1_name"/>
      <w:r w:rsidRPr="00D75BD9">
        <w:rPr>
          <w:rFonts w:ascii="Arial" w:eastAsia="Times New Roman" w:hAnsi="Arial" w:cs="Arial"/>
          <w:color w:val="000000"/>
          <w:sz w:val="14"/>
          <w:szCs w:val="14"/>
          <w:lang w:val="vi-VN"/>
        </w:rPr>
        <w:t>Điều chỉnh mức cho vay quy định tại</w:t>
      </w:r>
      <w:bookmarkEnd w:id="3"/>
      <w:r w:rsidRPr="00D75BD9">
        <w:rPr>
          <w:rFonts w:ascii="Arial" w:eastAsia="Times New Roman" w:hAnsi="Arial" w:cs="Arial"/>
          <w:color w:val="000000"/>
          <w:sz w:val="14"/>
          <w:szCs w:val="14"/>
          <w:lang w:val="vi-VN"/>
        </w:rPr>
        <w:t> </w:t>
      </w:r>
      <w:bookmarkStart w:id="4" w:name="dc_1"/>
      <w:r w:rsidRPr="00D75BD9">
        <w:rPr>
          <w:rFonts w:ascii="Arial" w:eastAsia="Times New Roman" w:hAnsi="Arial" w:cs="Arial"/>
          <w:color w:val="000000"/>
          <w:sz w:val="14"/>
          <w:szCs w:val="14"/>
          <w:lang w:val="vi-VN"/>
        </w:rPr>
        <w:t>Khoản 1 Điều 5 Quyết định số 157/2007/QĐ-TTg</w:t>
      </w:r>
      <w:bookmarkEnd w:id="4"/>
      <w:r w:rsidRPr="00D75BD9">
        <w:rPr>
          <w:rFonts w:ascii="Arial" w:eastAsia="Times New Roman" w:hAnsi="Arial" w:cs="Arial"/>
          <w:color w:val="000000"/>
          <w:sz w:val="14"/>
          <w:szCs w:val="14"/>
          <w:lang w:val="vi-VN"/>
        </w:rPr>
        <w:t> </w:t>
      </w:r>
      <w:bookmarkStart w:id="5" w:name="dieu_1_name_name"/>
      <w:r w:rsidRPr="00D75BD9">
        <w:rPr>
          <w:rFonts w:ascii="Arial" w:eastAsia="Times New Roman" w:hAnsi="Arial" w:cs="Arial"/>
          <w:color w:val="000000"/>
          <w:sz w:val="14"/>
          <w:szCs w:val="14"/>
          <w:lang w:val="vi-VN"/>
        </w:rPr>
        <w:t>ngày 27 tháng 9 năm 2007 của Thủ tướng Chính phủ về tín dụng đối với học sinh, sinh viên như sau: Mức cho vay tối đa là 1.500.000 đồng/tháng/học sinh, sinh viên.</w:t>
      </w:r>
      <w:bookmarkEnd w:id="5"/>
    </w:p>
    <w:p w:rsidR="00D75BD9" w:rsidRPr="00D75BD9" w:rsidRDefault="00D75BD9" w:rsidP="00D75BD9">
      <w:pPr>
        <w:shd w:val="clear" w:color="auto" w:fill="FFFFFF"/>
        <w:spacing w:after="0" w:line="180" w:lineRule="atLeast"/>
        <w:rPr>
          <w:rFonts w:ascii="Arial" w:eastAsia="Times New Roman" w:hAnsi="Arial" w:cs="Arial"/>
          <w:color w:val="000000"/>
          <w:sz w:val="14"/>
          <w:szCs w:val="14"/>
        </w:rPr>
      </w:pPr>
      <w:bookmarkStart w:id="6" w:name="dieu_2"/>
      <w:r w:rsidRPr="00D75BD9">
        <w:rPr>
          <w:rFonts w:ascii="Arial" w:eastAsia="Times New Roman" w:hAnsi="Arial" w:cs="Arial"/>
          <w:b/>
          <w:bCs/>
          <w:color w:val="000000"/>
          <w:sz w:val="14"/>
          <w:szCs w:val="14"/>
          <w:lang w:val="vi-VN"/>
        </w:rPr>
        <w:t>Điều 2.</w:t>
      </w:r>
      <w:bookmarkEnd w:id="6"/>
      <w:r w:rsidRPr="00D75BD9">
        <w:rPr>
          <w:rFonts w:ascii="Arial" w:eastAsia="Times New Roman" w:hAnsi="Arial" w:cs="Arial"/>
          <w:color w:val="000000"/>
          <w:sz w:val="14"/>
          <w:szCs w:val="14"/>
          <w:lang w:val="vi-VN"/>
        </w:rPr>
        <w:t> </w:t>
      </w:r>
      <w:bookmarkStart w:id="7" w:name="dieu_2_name"/>
      <w:r w:rsidRPr="00D75BD9">
        <w:rPr>
          <w:rFonts w:ascii="Arial" w:eastAsia="Times New Roman" w:hAnsi="Arial" w:cs="Arial"/>
          <w:color w:val="000000"/>
          <w:sz w:val="14"/>
          <w:szCs w:val="14"/>
          <w:lang w:val="vi-VN"/>
        </w:rPr>
        <w:t>Trách nhiệm của các Bộ, ngành liên quan</w:t>
      </w:r>
      <w:bookmarkEnd w:id="7"/>
    </w:p>
    <w:p w:rsidR="00D75BD9" w:rsidRPr="00D75BD9" w:rsidRDefault="00D75BD9" w:rsidP="00D75BD9">
      <w:pPr>
        <w:shd w:val="clear" w:color="auto" w:fill="FFFFFF"/>
        <w:spacing w:before="120" w:after="120" w:line="180" w:lineRule="atLeast"/>
        <w:rPr>
          <w:rFonts w:ascii="Arial" w:eastAsia="Times New Roman" w:hAnsi="Arial" w:cs="Arial"/>
          <w:color w:val="000000"/>
          <w:sz w:val="14"/>
          <w:szCs w:val="14"/>
        </w:rPr>
      </w:pPr>
      <w:r w:rsidRPr="00D75BD9">
        <w:rPr>
          <w:rFonts w:ascii="Arial" w:eastAsia="Times New Roman" w:hAnsi="Arial" w:cs="Arial"/>
          <w:color w:val="000000"/>
          <w:sz w:val="14"/>
          <w:szCs w:val="14"/>
          <w:lang w:val="vi-VN"/>
        </w:rPr>
        <w:t>1. Bộ Kế hoạch và Đầu tư cân đối, bố trí cấp đủ nguồn vốn cấp bù chênh lệch lãi suất và phí quản lý cho Ngân hàng Chính sách xã hội theo quy định.</w:t>
      </w:r>
    </w:p>
    <w:p w:rsidR="00D75BD9" w:rsidRPr="00D75BD9" w:rsidRDefault="00D75BD9" w:rsidP="00D75BD9">
      <w:pPr>
        <w:shd w:val="clear" w:color="auto" w:fill="FFFFFF"/>
        <w:spacing w:before="120" w:after="120" w:line="180" w:lineRule="atLeast"/>
        <w:rPr>
          <w:rFonts w:ascii="Arial" w:eastAsia="Times New Roman" w:hAnsi="Arial" w:cs="Arial"/>
          <w:color w:val="000000"/>
          <w:sz w:val="14"/>
          <w:szCs w:val="14"/>
        </w:rPr>
      </w:pPr>
      <w:r w:rsidRPr="00D75BD9">
        <w:rPr>
          <w:rFonts w:ascii="Arial" w:eastAsia="Times New Roman" w:hAnsi="Arial" w:cs="Arial"/>
          <w:color w:val="000000"/>
          <w:sz w:val="14"/>
          <w:szCs w:val="14"/>
          <w:lang w:val="vi-VN"/>
        </w:rPr>
        <w:t>2. Ngân hàng Chính sách xã hội có trách nhiệm thực hiện cho vay, giám sát, thu hồi </w:t>
      </w:r>
      <w:r w:rsidRPr="00D75BD9">
        <w:rPr>
          <w:rFonts w:ascii="Arial" w:eastAsia="Times New Roman" w:hAnsi="Arial" w:cs="Arial"/>
          <w:color w:val="000000"/>
          <w:sz w:val="14"/>
          <w:szCs w:val="14"/>
        </w:rPr>
        <w:t>nợ </w:t>
      </w:r>
      <w:r w:rsidRPr="00D75BD9">
        <w:rPr>
          <w:rFonts w:ascii="Arial" w:eastAsia="Times New Roman" w:hAnsi="Arial" w:cs="Arial"/>
          <w:color w:val="000000"/>
          <w:sz w:val="14"/>
          <w:szCs w:val="14"/>
          <w:lang w:val="vi-VN"/>
        </w:rPr>
        <w:t>vay theo quy định của pháp luật hiện hành.</w:t>
      </w:r>
    </w:p>
    <w:p w:rsidR="00D75BD9" w:rsidRPr="00D75BD9" w:rsidRDefault="00D75BD9" w:rsidP="00D75BD9">
      <w:pPr>
        <w:shd w:val="clear" w:color="auto" w:fill="FFFFFF"/>
        <w:spacing w:after="0" w:line="180" w:lineRule="atLeast"/>
        <w:rPr>
          <w:rFonts w:ascii="Arial" w:eastAsia="Times New Roman" w:hAnsi="Arial" w:cs="Arial"/>
          <w:color w:val="000000"/>
          <w:sz w:val="14"/>
          <w:szCs w:val="14"/>
        </w:rPr>
      </w:pPr>
      <w:bookmarkStart w:id="8" w:name="dieu_3"/>
      <w:r w:rsidRPr="00D75BD9">
        <w:rPr>
          <w:rFonts w:ascii="Arial" w:eastAsia="Times New Roman" w:hAnsi="Arial" w:cs="Arial"/>
          <w:b/>
          <w:bCs/>
          <w:color w:val="000000"/>
          <w:sz w:val="14"/>
          <w:szCs w:val="14"/>
          <w:lang w:val="vi-VN"/>
        </w:rPr>
        <w:t>Điều 3.</w:t>
      </w:r>
      <w:bookmarkEnd w:id="8"/>
      <w:r w:rsidRPr="00D75BD9">
        <w:rPr>
          <w:rFonts w:ascii="Arial" w:eastAsia="Times New Roman" w:hAnsi="Arial" w:cs="Arial"/>
          <w:color w:val="000000"/>
          <w:sz w:val="14"/>
          <w:szCs w:val="14"/>
          <w:lang w:val="vi-VN"/>
        </w:rPr>
        <w:t> </w:t>
      </w:r>
      <w:bookmarkStart w:id="9" w:name="dieu_3_name"/>
      <w:r w:rsidRPr="00D75BD9">
        <w:rPr>
          <w:rFonts w:ascii="Arial" w:eastAsia="Times New Roman" w:hAnsi="Arial" w:cs="Arial"/>
          <w:color w:val="000000"/>
          <w:sz w:val="14"/>
          <w:szCs w:val="14"/>
          <w:lang w:val="vi-VN"/>
        </w:rPr>
        <w:t>Quyết định này có hiệu lực thi hành kể từ ngày 15 tháng 6 năm 2017, áp dụng đối với các khoản giải ngân mới kể từ khi Quyết định này có hiệu lực thi hành.</w:t>
      </w:r>
      <w:bookmarkEnd w:id="9"/>
    </w:p>
    <w:p w:rsidR="00D75BD9" w:rsidRPr="00D75BD9" w:rsidRDefault="00D75BD9" w:rsidP="00D75BD9">
      <w:pPr>
        <w:shd w:val="clear" w:color="auto" w:fill="FFFFFF"/>
        <w:spacing w:after="0" w:line="180" w:lineRule="atLeast"/>
        <w:rPr>
          <w:rFonts w:ascii="Arial" w:eastAsia="Times New Roman" w:hAnsi="Arial" w:cs="Arial"/>
          <w:color w:val="000000"/>
          <w:sz w:val="14"/>
          <w:szCs w:val="14"/>
        </w:rPr>
      </w:pPr>
      <w:bookmarkStart w:id="10" w:name="dieu_4"/>
      <w:r w:rsidRPr="00D75BD9">
        <w:rPr>
          <w:rFonts w:ascii="Arial" w:eastAsia="Times New Roman" w:hAnsi="Arial" w:cs="Arial"/>
          <w:b/>
          <w:bCs/>
          <w:color w:val="000000"/>
          <w:sz w:val="14"/>
          <w:szCs w:val="14"/>
          <w:lang w:val="vi-VN"/>
        </w:rPr>
        <w:t>Điều 4.</w:t>
      </w:r>
      <w:bookmarkEnd w:id="10"/>
      <w:r w:rsidRPr="00D75BD9">
        <w:rPr>
          <w:rFonts w:ascii="Arial" w:eastAsia="Times New Roman" w:hAnsi="Arial" w:cs="Arial"/>
          <w:color w:val="000000"/>
          <w:sz w:val="14"/>
          <w:szCs w:val="14"/>
          <w:lang w:val="vi-VN"/>
        </w:rPr>
        <w:t> </w:t>
      </w:r>
      <w:bookmarkStart w:id="11" w:name="dieu_4_name"/>
      <w:r w:rsidRPr="00D75BD9">
        <w:rPr>
          <w:rFonts w:ascii="Arial" w:eastAsia="Times New Roman" w:hAnsi="Arial" w:cs="Arial"/>
          <w:color w:val="000000"/>
          <w:sz w:val="14"/>
          <w:szCs w:val="14"/>
          <w:lang w:val="vi-VN"/>
        </w:rPr>
        <w:t>Bộ trưởng các Bộ: Tài chính, Kế hoạch và Đầu tư, Giáo dục và Đào tạo, Lao động - Thương binh và Xã hội; Thống đốc Ngân hàng Nhà nước Việt Nam; Tổng giám đốc Ngân hàng Chính sách xã hội chịu trách nhiệm thi hành Quyết định này./</w:t>
      </w:r>
      <w:bookmarkEnd w:id="11"/>
    </w:p>
    <w:p w:rsidR="00D75BD9" w:rsidRPr="00D75BD9" w:rsidRDefault="00D75BD9" w:rsidP="00D75BD9">
      <w:pPr>
        <w:shd w:val="clear" w:color="auto" w:fill="FFFFFF"/>
        <w:spacing w:before="120" w:after="120" w:line="180" w:lineRule="atLeast"/>
        <w:rPr>
          <w:rFonts w:ascii="Arial" w:eastAsia="Times New Roman" w:hAnsi="Arial" w:cs="Arial"/>
          <w:color w:val="000000"/>
          <w:sz w:val="14"/>
          <w:szCs w:val="14"/>
        </w:rPr>
      </w:pPr>
      <w:r w:rsidRPr="00D75BD9">
        <w:rPr>
          <w:rFonts w:ascii="Arial" w:eastAsia="Times New Roman" w:hAnsi="Arial" w:cs="Arial"/>
          <w:color w:val="000000"/>
          <w:sz w:val="14"/>
          <w:szCs w:val="14"/>
        </w:rPr>
        <w:t> </w:t>
      </w:r>
    </w:p>
    <w:tbl>
      <w:tblPr>
        <w:tblW w:w="0" w:type="auto"/>
        <w:tblCellSpacing w:w="0" w:type="dxa"/>
        <w:shd w:val="clear" w:color="auto" w:fill="FFFFFF"/>
        <w:tblCellMar>
          <w:left w:w="0" w:type="dxa"/>
          <w:right w:w="0" w:type="dxa"/>
        </w:tblCellMar>
        <w:tblLook w:val="04A0"/>
      </w:tblPr>
      <w:tblGrid>
        <w:gridCol w:w="4428"/>
        <w:gridCol w:w="4428"/>
      </w:tblGrid>
      <w:tr w:rsidR="00D75BD9" w:rsidRPr="00D75BD9" w:rsidTr="00D75BD9">
        <w:trPr>
          <w:tblCellSpacing w:w="0" w:type="dxa"/>
        </w:trPr>
        <w:tc>
          <w:tcPr>
            <w:tcW w:w="4428" w:type="dxa"/>
            <w:shd w:val="clear" w:color="auto" w:fill="FFFFFF"/>
            <w:tcMar>
              <w:top w:w="0" w:type="dxa"/>
              <w:left w:w="108" w:type="dxa"/>
              <w:bottom w:w="0" w:type="dxa"/>
              <w:right w:w="108" w:type="dxa"/>
            </w:tcMar>
            <w:hideMark/>
          </w:tcPr>
          <w:p w:rsidR="00D75BD9" w:rsidRPr="00D75BD9" w:rsidRDefault="00D75BD9" w:rsidP="00D75BD9">
            <w:pPr>
              <w:spacing w:before="120" w:after="120" w:line="180" w:lineRule="atLeast"/>
              <w:rPr>
                <w:rFonts w:ascii="Arial" w:eastAsia="Times New Roman" w:hAnsi="Arial" w:cs="Arial"/>
                <w:color w:val="000000"/>
                <w:sz w:val="14"/>
                <w:szCs w:val="14"/>
              </w:rPr>
            </w:pPr>
            <w:r w:rsidRPr="00D75BD9">
              <w:rPr>
                <w:rFonts w:ascii="Arial" w:eastAsia="Times New Roman" w:hAnsi="Arial" w:cs="Arial"/>
                <w:b/>
                <w:bCs/>
                <w:i/>
                <w:iCs/>
                <w:color w:val="000000"/>
                <w:sz w:val="14"/>
                <w:szCs w:val="14"/>
                <w:lang w:val="vi-VN"/>
              </w:rPr>
              <w:br/>
              <w:t>Nơi nhận:</w:t>
            </w:r>
            <w:r w:rsidRPr="00D75BD9">
              <w:rPr>
                <w:rFonts w:ascii="Arial" w:eastAsia="Times New Roman" w:hAnsi="Arial" w:cs="Arial"/>
                <w:b/>
                <w:bCs/>
                <w:i/>
                <w:iCs/>
                <w:color w:val="000000"/>
                <w:sz w:val="14"/>
                <w:szCs w:val="14"/>
                <w:lang w:val="vi-VN"/>
              </w:rPr>
              <w:br/>
            </w:r>
            <w:r w:rsidRPr="00D75BD9">
              <w:rPr>
                <w:rFonts w:ascii="Arial" w:eastAsia="Times New Roman" w:hAnsi="Arial" w:cs="Arial"/>
                <w:color w:val="000000"/>
                <w:sz w:val="16"/>
                <w:szCs w:val="16"/>
                <w:lang w:val="vi-VN"/>
              </w:rPr>
              <w:t>- Như Điều 4;</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Ban Bí thư Trung ương Đảng;</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Thủ tướng, các Phó Thủ tướ</w:t>
            </w:r>
            <w:r w:rsidRPr="00D75BD9">
              <w:rPr>
                <w:rFonts w:ascii="Arial" w:eastAsia="Times New Roman" w:hAnsi="Arial" w:cs="Arial"/>
                <w:color w:val="000000"/>
                <w:sz w:val="16"/>
                <w:szCs w:val="16"/>
              </w:rPr>
              <w:t>n</w:t>
            </w:r>
            <w:r w:rsidRPr="00D75BD9">
              <w:rPr>
                <w:rFonts w:ascii="Arial" w:eastAsia="Times New Roman" w:hAnsi="Arial" w:cs="Arial"/>
                <w:color w:val="000000"/>
                <w:sz w:val="16"/>
                <w:szCs w:val="16"/>
                <w:lang w:val="vi-VN"/>
              </w:rPr>
              <w:t>g Chính phủ;</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Văn phòng Trung ương và các Ban của Đảng;</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Văn phòng Tổng Bí thư;</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Văn phòng Chủ tịch nước;</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Hội đồng dân tộc và các Ủy ban của Quốc hội;</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Văn phòng Quốc hội;</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Ngân hàng Chính sách xã hội;</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Ủy ban trung ương Mặt trận Tổ quốc Việt Nam;</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Cơ quan trung ương của các đoàn thể;</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VPCP: BTCN, các PCN, Trợ lý TTg, TGĐ Cổng TTĐT, các Vụ: TH, TKBT, QHĐP, KGVX;</w:t>
            </w:r>
            <w:r w:rsidRPr="00D75BD9">
              <w:rPr>
                <w:rFonts w:ascii="Arial" w:eastAsia="Times New Roman" w:hAnsi="Arial" w:cs="Arial"/>
                <w:color w:val="000000"/>
                <w:sz w:val="16"/>
                <w:szCs w:val="16"/>
              </w:rPr>
              <w:br/>
            </w:r>
            <w:r w:rsidRPr="00D75BD9">
              <w:rPr>
                <w:rFonts w:ascii="Arial" w:eastAsia="Times New Roman" w:hAnsi="Arial" w:cs="Arial"/>
                <w:color w:val="000000"/>
                <w:sz w:val="16"/>
                <w:szCs w:val="16"/>
                <w:lang w:val="vi-VN"/>
              </w:rPr>
              <w:t>- Lưu: VT, KTTH (2b) </w:t>
            </w:r>
            <w:r w:rsidRPr="00D75BD9">
              <w:rPr>
                <w:rFonts w:ascii="Arial" w:eastAsia="Times New Roman" w:hAnsi="Arial" w:cs="Arial"/>
                <w:color w:val="000000"/>
                <w:sz w:val="16"/>
                <w:szCs w:val="16"/>
              </w:rPr>
              <w:t>M.Cường 50</w:t>
            </w:r>
          </w:p>
        </w:tc>
        <w:tc>
          <w:tcPr>
            <w:tcW w:w="4428" w:type="dxa"/>
            <w:shd w:val="clear" w:color="auto" w:fill="FFFFFF"/>
            <w:tcMar>
              <w:top w:w="0" w:type="dxa"/>
              <w:left w:w="108" w:type="dxa"/>
              <w:bottom w:w="0" w:type="dxa"/>
              <w:right w:w="108" w:type="dxa"/>
            </w:tcMar>
            <w:hideMark/>
          </w:tcPr>
          <w:p w:rsidR="00D75BD9" w:rsidRPr="00D75BD9" w:rsidRDefault="00D75BD9" w:rsidP="00D75BD9">
            <w:pPr>
              <w:spacing w:before="120" w:after="120" w:line="180" w:lineRule="atLeast"/>
              <w:jc w:val="center"/>
              <w:rPr>
                <w:rFonts w:ascii="Arial" w:eastAsia="Times New Roman" w:hAnsi="Arial" w:cs="Arial"/>
                <w:color w:val="000000"/>
                <w:sz w:val="14"/>
                <w:szCs w:val="14"/>
              </w:rPr>
            </w:pPr>
            <w:r w:rsidRPr="00D75BD9">
              <w:rPr>
                <w:rFonts w:ascii="Arial" w:eastAsia="Times New Roman" w:hAnsi="Arial" w:cs="Arial"/>
                <w:b/>
                <w:bCs/>
                <w:color w:val="000000"/>
                <w:sz w:val="14"/>
                <w:szCs w:val="14"/>
              </w:rPr>
              <w:t>THỦ TƯỚNG</w:t>
            </w:r>
            <w:r w:rsidRPr="00D75BD9">
              <w:rPr>
                <w:rFonts w:ascii="Arial" w:eastAsia="Times New Roman" w:hAnsi="Arial" w:cs="Arial"/>
                <w:b/>
                <w:bCs/>
                <w:color w:val="000000"/>
                <w:sz w:val="14"/>
                <w:szCs w:val="14"/>
              </w:rPr>
              <w:br/>
            </w:r>
            <w:r w:rsidRPr="00D75BD9">
              <w:rPr>
                <w:rFonts w:ascii="Arial" w:eastAsia="Times New Roman" w:hAnsi="Arial" w:cs="Arial"/>
                <w:b/>
                <w:bCs/>
                <w:color w:val="000000"/>
                <w:sz w:val="14"/>
                <w:szCs w:val="14"/>
              </w:rPr>
              <w:br/>
            </w:r>
            <w:r w:rsidRPr="00D75BD9">
              <w:rPr>
                <w:rFonts w:ascii="Arial" w:eastAsia="Times New Roman" w:hAnsi="Arial" w:cs="Arial"/>
                <w:b/>
                <w:bCs/>
                <w:color w:val="000000"/>
                <w:sz w:val="14"/>
                <w:szCs w:val="14"/>
              </w:rPr>
              <w:br/>
            </w:r>
            <w:r w:rsidRPr="00D75BD9">
              <w:rPr>
                <w:rFonts w:ascii="Arial" w:eastAsia="Times New Roman" w:hAnsi="Arial" w:cs="Arial"/>
                <w:b/>
                <w:bCs/>
                <w:color w:val="000000"/>
                <w:sz w:val="14"/>
                <w:szCs w:val="14"/>
              </w:rPr>
              <w:br/>
            </w:r>
            <w:r w:rsidRPr="00D75BD9">
              <w:rPr>
                <w:rFonts w:ascii="Arial" w:eastAsia="Times New Roman" w:hAnsi="Arial" w:cs="Arial"/>
                <w:b/>
                <w:bCs/>
                <w:color w:val="000000"/>
                <w:sz w:val="14"/>
                <w:szCs w:val="14"/>
              </w:rPr>
              <w:br/>
              <w:t>Nguyễn Xuân Phúc</w:t>
            </w:r>
          </w:p>
        </w:tc>
      </w:tr>
    </w:tbl>
    <w:p w:rsidR="002C40D3" w:rsidRPr="00D75BD9" w:rsidRDefault="002C40D3" w:rsidP="00D75BD9">
      <w:pPr>
        <w:rPr>
          <w:szCs w:val="22"/>
        </w:rPr>
      </w:pPr>
    </w:p>
    <w:sectPr w:rsidR="002C40D3" w:rsidRPr="00D75BD9" w:rsidSect="007D6F47">
      <w:pgSz w:w="12240" w:h="15840"/>
      <w:pgMar w:top="270" w:right="1440" w:bottom="27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DaunPenh">
    <w:panose1 w:val="01010101010101010101"/>
    <w:charset w:val="00"/>
    <w:family w:val="auto"/>
    <w:pitch w:val="variable"/>
    <w:sig w:usb0="A00000EF" w:usb1="5000204A" w:usb2="00010000" w:usb3="00000000" w:csb0="0000011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oolBoran">
    <w:panose1 w:val="020B0100010101010101"/>
    <w:charset w:val="00"/>
    <w:family w:val="swiss"/>
    <w:pitch w:val="variable"/>
    <w:sig w:usb0="8000000F" w:usb1="0000204A" w:usb2="00010000" w:usb3="00000000" w:csb0="00000001"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grammar="clean"/>
  <w:defaultTabStop w:val="720"/>
  <w:characterSpacingControl w:val="doNotCompress"/>
  <w:compat>
    <w:useFELayout/>
  </w:compat>
  <w:rsids>
    <w:rsidRoot w:val="002C40D3"/>
    <w:rsid w:val="001A4284"/>
    <w:rsid w:val="002C40D3"/>
    <w:rsid w:val="002D4C25"/>
    <w:rsid w:val="003C6146"/>
    <w:rsid w:val="005E72AC"/>
    <w:rsid w:val="007716CA"/>
    <w:rsid w:val="007D6F47"/>
    <w:rsid w:val="008A7294"/>
    <w:rsid w:val="009E5FAB"/>
    <w:rsid w:val="00A138F0"/>
    <w:rsid w:val="00C0754E"/>
    <w:rsid w:val="00D42300"/>
    <w:rsid w:val="00D75BD9"/>
    <w:rsid w:val="00EC7865"/>
    <w:rsid w:val="00F96774"/>
    <w:rsid w:val="00FC5ACB"/>
  </w:rsids>
  <m:mathPr>
    <m:mathFont m:val="Cambria Math"/>
    <m:brkBin m:val="before"/>
    <m:brkBinSub m:val="--"/>
    <m:smallFrac m:val="off"/>
    <m:dispDef/>
    <m:lMargin m:val="0"/>
    <m:rMargin m:val="0"/>
    <m:defJc m:val="centerGroup"/>
    <m:wrapIndent m:val="1440"/>
    <m:intLim m:val="subSup"/>
    <m:naryLim m:val="undOvr"/>
  </m:mathPr>
  <w:themeFontLang w:val="en-US" w:bidi="km-KH"/>
  <w:clrSchemeMapping w:bg1="light1" w:t1="dark1" w:bg2="light2" w:t2="dark2" w:accent1="accent1" w:accent2="accent2" w:accent3="accent3" w:accent4="accent4" w:accent5="accent5" w:accent6="accent6" w:hyperlink="hyperlink" w:followedHyperlink="followedHyperlink"/>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36"/>
        <w:lang w:val="en-US" w:eastAsia="en-US" w:bidi="km-KH"/>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96774"/>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vn5">
    <w:name w:val="vn_5"/>
    <w:basedOn w:val="DefaultParagraphFont"/>
    <w:rsid w:val="002C40D3"/>
  </w:style>
  <w:style w:type="paragraph" w:styleId="NormalWeb">
    <w:name w:val="Normal (Web)"/>
    <w:basedOn w:val="Normal"/>
    <w:uiPriority w:val="99"/>
    <w:unhideWhenUsed/>
    <w:rsid w:val="00D75BD9"/>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D75BD9"/>
    <w:rPr>
      <w:color w:val="0000FF"/>
      <w:u w:val="single"/>
    </w:rPr>
  </w:style>
</w:styles>
</file>

<file path=word/webSettings.xml><?xml version="1.0" encoding="utf-8"?>
<w:webSettings xmlns:r="http://schemas.openxmlformats.org/officeDocument/2006/relationships" xmlns:w="http://schemas.openxmlformats.org/wordprocessingml/2006/main">
  <w:divs>
    <w:div w:id="11031168">
      <w:bodyDiv w:val="1"/>
      <w:marLeft w:val="0"/>
      <w:marRight w:val="0"/>
      <w:marTop w:val="0"/>
      <w:marBottom w:val="0"/>
      <w:divBdr>
        <w:top w:val="none" w:sz="0" w:space="0" w:color="auto"/>
        <w:left w:val="none" w:sz="0" w:space="0" w:color="auto"/>
        <w:bottom w:val="none" w:sz="0" w:space="0" w:color="auto"/>
        <w:right w:val="none" w:sz="0" w:space="0" w:color="auto"/>
      </w:divBdr>
    </w:div>
    <w:div w:id="644747429">
      <w:bodyDiv w:val="1"/>
      <w:marLeft w:val="0"/>
      <w:marRight w:val="0"/>
      <w:marTop w:val="0"/>
      <w:marBottom w:val="0"/>
      <w:divBdr>
        <w:top w:val="none" w:sz="0" w:space="0" w:color="auto"/>
        <w:left w:val="none" w:sz="0" w:space="0" w:color="auto"/>
        <w:bottom w:val="none" w:sz="0" w:space="0" w:color="auto"/>
        <w:right w:val="none" w:sz="0" w:space="0" w:color="auto"/>
      </w:divBdr>
    </w:div>
    <w:div w:id="726492852">
      <w:bodyDiv w:val="1"/>
      <w:marLeft w:val="0"/>
      <w:marRight w:val="0"/>
      <w:marTop w:val="0"/>
      <w:marBottom w:val="0"/>
      <w:divBdr>
        <w:top w:val="none" w:sz="0" w:space="0" w:color="auto"/>
        <w:left w:val="none" w:sz="0" w:space="0" w:color="auto"/>
        <w:bottom w:val="none" w:sz="0" w:space="0" w:color="auto"/>
        <w:right w:val="none" w:sz="0" w:space="0" w:color="auto"/>
      </w:divBdr>
    </w:div>
    <w:div w:id="1310087616">
      <w:bodyDiv w:val="1"/>
      <w:marLeft w:val="0"/>
      <w:marRight w:val="0"/>
      <w:marTop w:val="0"/>
      <w:marBottom w:val="0"/>
      <w:divBdr>
        <w:top w:val="none" w:sz="0" w:space="0" w:color="auto"/>
        <w:left w:val="none" w:sz="0" w:space="0" w:color="auto"/>
        <w:bottom w:val="none" w:sz="0" w:space="0" w:color="auto"/>
        <w:right w:val="none" w:sz="0" w:space="0" w:color="auto"/>
      </w:divBdr>
    </w:div>
    <w:div w:id="1670205824">
      <w:bodyDiv w:val="1"/>
      <w:marLeft w:val="0"/>
      <w:marRight w:val="0"/>
      <w:marTop w:val="0"/>
      <w:marBottom w:val="0"/>
      <w:divBdr>
        <w:top w:val="none" w:sz="0" w:space="0" w:color="auto"/>
        <w:left w:val="none" w:sz="0" w:space="0" w:color="auto"/>
        <w:bottom w:val="none" w:sz="0" w:space="0" w:color="auto"/>
        <w:right w:val="none" w:sz="0" w:space="0" w:color="auto"/>
      </w:divBdr>
    </w:div>
    <w:div w:id="1704361596">
      <w:bodyDiv w:val="1"/>
      <w:marLeft w:val="0"/>
      <w:marRight w:val="0"/>
      <w:marTop w:val="0"/>
      <w:marBottom w:val="0"/>
      <w:divBdr>
        <w:top w:val="none" w:sz="0" w:space="0" w:color="auto"/>
        <w:left w:val="none" w:sz="0" w:space="0" w:color="auto"/>
        <w:bottom w:val="none" w:sz="0" w:space="0" w:color="auto"/>
        <w:right w:val="none" w:sz="0" w:space="0" w:color="auto"/>
      </w:divBdr>
    </w:div>
    <w:div w:id="1869562803">
      <w:bodyDiv w:val="1"/>
      <w:marLeft w:val="0"/>
      <w:marRight w:val="0"/>
      <w:marTop w:val="0"/>
      <w:marBottom w:val="0"/>
      <w:divBdr>
        <w:top w:val="none" w:sz="0" w:space="0" w:color="auto"/>
        <w:left w:val="none" w:sz="0" w:space="0" w:color="auto"/>
        <w:bottom w:val="none" w:sz="0" w:space="0" w:color="auto"/>
        <w:right w:val="none" w:sz="0" w:space="0" w:color="auto"/>
      </w:divBdr>
    </w:div>
    <w:div w:id="19308438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thuvienphapluat.vn/van-ban/tien-te-ngan-hang/quyet-dinh-157-2007-qd-ttg-tin-dung-hoc-sinh-sinh-vien-56252.aspx" TargetMode="External"/><Relationship Id="rId4" Type="http://schemas.openxmlformats.org/officeDocument/2006/relationships/hyperlink" Target="https://thuvienphapluat.vn/van-ban/tien-te-ngan-hang/nghi-dinh-78-2002-nd-cp-tin-dung-nguoi-ngheo-doi-tuong-chinh-sach-khac-50057.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196</TotalTime>
  <Pages>1</Pages>
  <Words>377</Words>
  <Characters>2149</Characters>
  <Application>Microsoft Office Word</Application>
  <DocSecurity>0</DocSecurity>
  <Lines>17</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2521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tvu</dc:creator>
  <cp:keywords/>
  <dc:description/>
  <cp:lastModifiedBy>tvu</cp:lastModifiedBy>
  <cp:revision>11</cp:revision>
  <dcterms:created xsi:type="dcterms:W3CDTF">2018-06-21T09:11:00Z</dcterms:created>
  <dcterms:modified xsi:type="dcterms:W3CDTF">2021-07-26T14:03:00Z</dcterms:modified>
</cp:coreProperties>
</file>